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E33" w:rsidRPr="007A57FC" w:rsidRDefault="00AA5A89" w:rsidP="00A30E33">
      <w:pPr>
        <w:pStyle w:val="Title"/>
        <w:spacing w:after="240"/>
        <w:jc w:val="center"/>
        <w:rPr>
          <w:rFonts w:ascii="Cambria" w:hAnsi="Cambria"/>
          <w:color w:val="1F4E79" w:themeColor="accent1" w:themeShade="80"/>
          <w:sz w:val="28"/>
        </w:rPr>
      </w:pPr>
      <w:r w:rsidRPr="007A57FC">
        <w:rPr>
          <w:rFonts w:ascii="Cambria" w:hAnsi="Cambria" w:cs="Sylfaen"/>
          <w:color w:val="1F4E79" w:themeColor="accent1" w:themeShade="80"/>
          <w:sz w:val="28"/>
        </w:rPr>
        <w:t>Elaboration of the 4</w:t>
      </w:r>
      <w:r w:rsidRPr="007A57FC">
        <w:rPr>
          <w:rFonts w:ascii="Cambria" w:hAnsi="Cambria" w:cs="Sylfaen"/>
          <w:color w:val="1F4E79" w:themeColor="accent1" w:themeShade="80"/>
          <w:sz w:val="28"/>
          <w:vertAlign w:val="superscript"/>
        </w:rPr>
        <w:t>th</w:t>
      </w:r>
      <w:r w:rsidRPr="007A57FC">
        <w:rPr>
          <w:rFonts w:ascii="Cambria" w:hAnsi="Cambria" w:cs="Sylfaen"/>
          <w:color w:val="1F4E79" w:themeColor="accent1" w:themeShade="80"/>
          <w:sz w:val="28"/>
        </w:rPr>
        <w:t xml:space="preserve"> OGP National Action Plan of Georgia</w:t>
      </w:r>
    </w:p>
    <w:p w:rsidR="00A30E33" w:rsidRPr="007A57FC" w:rsidRDefault="00AA5A89" w:rsidP="00A30E33">
      <w:pPr>
        <w:jc w:val="center"/>
        <w:rPr>
          <w:rFonts w:ascii="Cambria" w:hAnsi="Cambria" w:cs="Sylfaen"/>
          <w:b/>
          <w:color w:val="1F4E79" w:themeColor="accent1" w:themeShade="80"/>
        </w:rPr>
      </w:pPr>
      <w:r w:rsidRPr="007A57FC">
        <w:rPr>
          <w:rFonts w:ascii="Cambria" w:hAnsi="Cambria" w:cs="Sylfaen"/>
          <w:b/>
          <w:color w:val="1F4E79" w:themeColor="accent1" w:themeShade="80"/>
        </w:rPr>
        <w:t>Good Practice and the OGP Support Unit Recommendations</w:t>
      </w:r>
    </w:p>
    <w:tbl>
      <w:tblPr>
        <w:tblStyle w:val="GridTable4-Accent5"/>
        <w:tblW w:w="14175" w:type="dxa"/>
        <w:tblInd w:w="-572" w:type="dxa"/>
        <w:tblLayout w:type="fixed"/>
        <w:tblLook w:val="04A0" w:firstRow="1" w:lastRow="0" w:firstColumn="1" w:lastColumn="0" w:noHBand="0" w:noVBand="1"/>
      </w:tblPr>
      <w:tblGrid>
        <w:gridCol w:w="3119"/>
        <w:gridCol w:w="5386"/>
        <w:gridCol w:w="1134"/>
        <w:gridCol w:w="1701"/>
        <w:gridCol w:w="2835"/>
      </w:tblGrid>
      <w:tr w:rsidR="001526BB" w:rsidRPr="007A57FC" w:rsidTr="00942C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A30E33" w:rsidRPr="007A57FC" w:rsidRDefault="00AA5A89" w:rsidP="00AA3C31">
            <w:pPr>
              <w:rPr>
                <w:rFonts w:ascii="Cambria" w:hAnsi="Cambria" w:cs="Sylfaen"/>
                <w:sz w:val="20"/>
                <w:szCs w:val="20"/>
              </w:rPr>
            </w:pPr>
            <w:r w:rsidRPr="007A57FC">
              <w:rPr>
                <w:rFonts w:ascii="Cambria" w:hAnsi="Cambria" w:cs="Sylfaen"/>
                <w:sz w:val="20"/>
                <w:szCs w:val="20"/>
              </w:rPr>
              <w:t>Idea</w:t>
            </w:r>
          </w:p>
        </w:tc>
        <w:tc>
          <w:tcPr>
            <w:tcW w:w="5386" w:type="dxa"/>
          </w:tcPr>
          <w:p w:rsidR="00A30E33" w:rsidRPr="007A57FC" w:rsidRDefault="00AA5A89" w:rsidP="00AA3C31">
            <w:pPr>
              <w:cnfStyle w:val="100000000000" w:firstRow="1" w:lastRow="0" w:firstColumn="0" w:lastColumn="0" w:oddVBand="0" w:evenVBand="0" w:oddHBand="0" w:evenHBand="0" w:firstRowFirstColumn="0" w:firstRowLastColumn="0" w:lastRowFirstColumn="0" w:lastRowLastColumn="0"/>
              <w:rPr>
                <w:rFonts w:ascii="Cambria" w:hAnsi="Cambria" w:cs="Sylfaen"/>
                <w:sz w:val="20"/>
                <w:szCs w:val="20"/>
              </w:rPr>
            </w:pPr>
            <w:r w:rsidRPr="007A57FC">
              <w:rPr>
                <w:rFonts w:ascii="Cambria" w:hAnsi="Cambria" w:cs="Sylfaen"/>
                <w:sz w:val="20"/>
                <w:szCs w:val="20"/>
              </w:rPr>
              <w:t xml:space="preserve">Brief Description </w:t>
            </w:r>
          </w:p>
        </w:tc>
        <w:tc>
          <w:tcPr>
            <w:tcW w:w="1134" w:type="dxa"/>
          </w:tcPr>
          <w:p w:rsidR="00A30E33" w:rsidRPr="007A57FC" w:rsidRDefault="00AA5A89" w:rsidP="00AA3C31">
            <w:pPr>
              <w:cnfStyle w:val="100000000000" w:firstRow="1" w:lastRow="0" w:firstColumn="0" w:lastColumn="0" w:oddVBand="0" w:evenVBand="0" w:oddHBand="0" w:evenHBand="0" w:firstRowFirstColumn="0" w:firstRowLastColumn="0" w:lastRowFirstColumn="0" w:lastRowLastColumn="0"/>
              <w:rPr>
                <w:rFonts w:ascii="Cambria" w:hAnsi="Cambria" w:cs="Sylfaen"/>
                <w:sz w:val="20"/>
                <w:szCs w:val="20"/>
              </w:rPr>
            </w:pPr>
            <w:r w:rsidRPr="007A57FC">
              <w:rPr>
                <w:rFonts w:ascii="Cambria" w:hAnsi="Cambria" w:cs="Sylfaen"/>
                <w:sz w:val="20"/>
                <w:szCs w:val="20"/>
              </w:rPr>
              <w:t>Recommended by</w:t>
            </w:r>
          </w:p>
        </w:tc>
        <w:tc>
          <w:tcPr>
            <w:tcW w:w="1701" w:type="dxa"/>
          </w:tcPr>
          <w:p w:rsidR="00A30E33" w:rsidRPr="007A57FC" w:rsidRDefault="00AA5A89" w:rsidP="00AA3C31">
            <w:pPr>
              <w:cnfStyle w:val="100000000000" w:firstRow="1" w:lastRow="0" w:firstColumn="0" w:lastColumn="0" w:oddVBand="0" w:evenVBand="0" w:oddHBand="0" w:evenHBand="0" w:firstRowFirstColumn="0" w:firstRowLastColumn="0" w:lastRowFirstColumn="0" w:lastRowLastColumn="0"/>
              <w:rPr>
                <w:rFonts w:ascii="Cambria" w:hAnsi="Cambria" w:cs="Sylfaen"/>
                <w:sz w:val="20"/>
                <w:szCs w:val="20"/>
              </w:rPr>
            </w:pPr>
            <w:r w:rsidRPr="007A57FC">
              <w:rPr>
                <w:rFonts w:ascii="Cambria" w:hAnsi="Cambria" w:cs="Sylfaen"/>
                <w:sz w:val="20"/>
                <w:szCs w:val="20"/>
              </w:rPr>
              <w:t>Possible responsible Agency</w:t>
            </w:r>
          </w:p>
        </w:tc>
        <w:tc>
          <w:tcPr>
            <w:tcW w:w="2835" w:type="dxa"/>
          </w:tcPr>
          <w:p w:rsidR="00A30E33" w:rsidRPr="007A57FC" w:rsidRDefault="00AA5A89" w:rsidP="00AA3C31">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7A57FC">
              <w:rPr>
                <w:rFonts w:ascii="Cambria" w:hAnsi="Cambria" w:cs="Sylfaen"/>
                <w:sz w:val="20"/>
                <w:szCs w:val="20"/>
              </w:rPr>
              <w:t xml:space="preserve">OGP Geo Secretariat </w:t>
            </w:r>
          </w:p>
        </w:tc>
      </w:tr>
      <w:tr w:rsidR="00AA5A89" w:rsidRPr="007A57FC" w:rsidTr="00942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AA5A89" w:rsidRPr="00747CDF" w:rsidRDefault="00C64E3E" w:rsidP="00AA5A89">
            <w:pPr>
              <w:rPr>
                <w:rFonts w:ascii="Cambria" w:hAnsi="Cambria" w:cs="Sylfaen"/>
                <w:color w:val="1F4E79" w:themeColor="accent1" w:themeShade="80"/>
                <w:sz w:val="20"/>
                <w:szCs w:val="20"/>
              </w:rPr>
            </w:pPr>
            <w:r>
              <w:rPr>
                <w:rFonts w:ascii="Cambria" w:hAnsi="Cambria" w:cs="Sylfaen"/>
                <w:color w:val="1F4E79" w:themeColor="accent1" w:themeShade="80"/>
                <w:sz w:val="20"/>
                <w:szCs w:val="20"/>
              </w:rPr>
              <w:t>Citizens to define their priority areas by transferring</w:t>
            </w:r>
            <w:r w:rsidR="00591ED5">
              <w:rPr>
                <w:rFonts w:ascii="Cambria" w:hAnsi="Cambria" w:cs="Sylfaen"/>
                <w:color w:val="1F4E79" w:themeColor="accent1" w:themeShade="80"/>
                <w:sz w:val="20"/>
                <w:szCs w:val="20"/>
              </w:rPr>
              <w:t xml:space="preserve"> 3-5% of their taxes for</w:t>
            </w:r>
            <w:r>
              <w:rPr>
                <w:rFonts w:ascii="Cambria" w:hAnsi="Cambria" w:cs="Sylfaen"/>
                <w:color w:val="1F4E79" w:themeColor="accent1" w:themeShade="80"/>
                <w:sz w:val="20"/>
                <w:szCs w:val="20"/>
              </w:rPr>
              <w:t xml:space="preserve"> pre-defined sectors</w:t>
            </w:r>
          </w:p>
        </w:tc>
        <w:tc>
          <w:tcPr>
            <w:tcW w:w="5386" w:type="dxa"/>
          </w:tcPr>
          <w:p w:rsidR="00AA5A89" w:rsidRPr="00747CDF" w:rsidRDefault="00591ED5" w:rsidP="00AA5A89">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Pr>
                <w:rFonts w:ascii="Cambria" w:hAnsi="Cambria" w:cs="Sylfaen"/>
                <w:color w:val="1F4E79" w:themeColor="accent1" w:themeShade="80"/>
                <w:sz w:val="20"/>
                <w:szCs w:val="20"/>
              </w:rPr>
              <w:t xml:space="preserve">Government to define certain areas/sectors to be contributed by citizens through their own taxes. The amount of contribution should be defined in the range of 3-5%. This will allow citizens to demonstrate their needs and interests. </w:t>
            </w:r>
          </w:p>
        </w:tc>
        <w:tc>
          <w:tcPr>
            <w:tcW w:w="1134" w:type="dxa"/>
          </w:tcPr>
          <w:p w:rsidR="003F2227" w:rsidRDefault="003F2227"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Pr>
                <w:rFonts w:ascii="Cambria" w:hAnsi="Cambria" w:cs="Sylfaen"/>
                <w:color w:val="1F4E79" w:themeColor="accent1" w:themeShade="80"/>
                <w:sz w:val="20"/>
                <w:szCs w:val="20"/>
              </w:rPr>
              <w:t>OGP Georgia’s Secretari</w:t>
            </w:r>
            <w:r w:rsidR="00E11339">
              <w:rPr>
                <w:rFonts w:ascii="Cambria" w:hAnsi="Cambria" w:cs="Sylfaen"/>
                <w:color w:val="1F4E79" w:themeColor="accent1" w:themeShade="80"/>
                <w:sz w:val="20"/>
                <w:szCs w:val="20"/>
              </w:rPr>
              <w:t>at</w:t>
            </w:r>
            <w:bookmarkStart w:id="0" w:name="_GoBack"/>
            <w:bookmarkEnd w:id="0"/>
          </w:p>
          <w:p w:rsidR="00AA5A89" w:rsidRPr="007A57FC" w:rsidRDefault="00AA5A8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p>
        </w:tc>
        <w:tc>
          <w:tcPr>
            <w:tcW w:w="1701" w:type="dxa"/>
          </w:tcPr>
          <w:p w:rsidR="00AA5A89" w:rsidRPr="007A57FC" w:rsidRDefault="00C64E3E"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Pr>
                <w:rFonts w:ascii="Cambria" w:hAnsi="Cambria" w:cs="Sylfaen"/>
                <w:color w:val="1F4E79" w:themeColor="accent1" w:themeShade="80"/>
                <w:sz w:val="20"/>
                <w:szCs w:val="20"/>
              </w:rPr>
              <w:t xml:space="preserve">Ministry of Finance </w:t>
            </w:r>
          </w:p>
        </w:tc>
        <w:tc>
          <w:tcPr>
            <w:tcW w:w="2835" w:type="dxa"/>
          </w:tcPr>
          <w:p w:rsidR="00AA5A89" w:rsidRPr="007A57FC" w:rsidRDefault="00591ED5" w:rsidP="00ED7D3E">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Pr>
                <w:rFonts w:ascii="Cambria" w:hAnsi="Cambria" w:cs="Sylfaen"/>
                <w:color w:val="1F4E79" w:themeColor="accent1" w:themeShade="80"/>
                <w:sz w:val="20"/>
                <w:szCs w:val="20"/>
              </w:rPr>
              <w:t xml:space="preserve">This commitment will ensure citizen engagement </w:t>
            </w:r>
          </w:p>
        </w:tc>
      </w:tr>
      <w:tr w:rsidR="003F2227" w:rsidRPr="007A57FC" w:rsidTr="00942CB2">
        <w:tc>
          <w:tcPr>
            <w:cnfStyle w:val="001000000000" w:firstRow="0" w:lastRow="0" w:firstColumn="1" w:lastColumn="0" w:oddVBand="0" w:evenVBand="0" w:oddHBand="0" w:evenHBand="0" w:firstRowFirstColumn="0" w:firstRowLastColumn="0" w:lastRowFirstColumn="0" w:lastRowLastColumn="0"/>
            <w:tcW w:w="3119" w:type="dxa"/>
          </w:tcPr>
          <w:p w:rsidR="003F2227" w:rsidRPr="00747CDF" w:rsidRDefault="003F2227" w:rsidP="003F2227">
            <w:pPr>
              <w:rPr>
                <w:rFonts w:ascii="Cambria" w:hAnsi="Cambria" w:cs="Sylfaen"/>
                <w:color w:val="1F4E79" w:themeColor="accent1" w:themeShade="80"/>
                <w:sz w:val="20"/>
                <w:szCs w:val="20"/>
              </w:rPr>
            </w:pPr>
            <w:r w:rsidRPr="00747CDF">
              <w:rPr>
                <w:rFonts w:ascii="Cambria" w:hAnsi="Cambria" w:cs="Sylfaen"/>
                <w:color w:val="1F4E79" w:themeColor="accent1" w:themeShade="80"/>
                <w:sz w:val="20"/>
                <w:szCs w:val="20"/>
              </w:rPr>
              <w:t xml:space="preserve">Establish the OGP Georgia’s website </w:t>
            </w:r>
          </w:p>
        </w:tc>
        <w:tc>
          <w:tcPr>
            <w:tcW w:w="5386" w:type="dxa"/>
          </w:tcPr>
          <w:p w:rsidR="003F2227" w:rsidRPr="00747CDF" w:rsidRDefault="003F2227" w:rsidP="003F222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47CDF">
              <w:rPr>
                <w:rFonts w:ascii="Cambria" w:hAnsi="Cambria" w:cs="Sylfaen"/>
                <w:color w:val="1F4E79" w:themeColor="accent1" w:themeShade="80"/>
                <w:sz w:val="20"/>
                <w:szCs w:val="20"/>
              </w:rPr>
              <w:t xml:space="preserve">Establish a well-functioning, and regularly updated OGP Georgia website on which key information and documents (including the roadmap for the 2018-2010 NAP development) are posted, and one where the public can track progress on commitments, provide inputs, ask questions and post feedback. Examples from Australia - </w:t>
            </w:r>
            <w:hyperlink r:id="rId7" w:history="1">
              <w:r w:rsidRPr="00747CDF">
                <w:rPr>
                  <w:rStyle w:val="Hyperlink"/>
                  <w:rFonts w:ascii="Cambria" w:hAnsi="Cambria" w:cs="Sylfaen"/>
                  <w:sz w:val="20"/>
                  <w:szCs w:val="20"/>
                </w:rPr>
                <w:t>https://ogpau.pmc.gov.au/</w:t>
              </w:r>
            </w:hyperlink>
            <w:r w:rsidRPr="00747CDF">
              <w:rPr>
                <w:rFonts w:ascii="Cambria" w:hAnsi="Cambria" w:cs="Sylfaen"/>
                <w:color w:val="1F4E79" w:themeColor="accent1" w:themeShade="80"/>
                <w:sz w:val="20"/>
                <w:szCs w:val="20"/>
              </w:rPr>
              <w:t xml:space="preserve"> and Italy - </w:t>
            </w:r>
            <w:hyperlink r:id="rId8" w:history="1">
              <w:r w:rsidRPr="00747CDF">
                <w:rPr>
                  <w:rStyle w:val="Hyperlink"/>
                  <w:rFonts w:ascii="Cambria" w:hAnsi="Cambria" w:cs="Sylfaen"/>
                  <w:sz w:val="20"/>
                  <w:szCs w:val="20"/>
                </w:rPr>
                <w:t>http://open.gov.it/</w:t>
              </w:r>
            </w:hyperlink>
            <w:r w:rsidRPr="00747CDF">
              <w:rPr>
                <w:rFonts w:ascii="Cambria" w:hAnsi="Cambria" w:cs="Sylfaen"/>
                <w:color w:val="1F4E79" w:themeColor="accent1" w:themeShade="80"/>
                <w:sz w:val="20"/>
                <w:szCs w:val="20"/>
              </w:rPr>
              <w:t xml:space="preserve"> should be considered</w:t>
            </w:r>
          </w:p>
        </w:tc>
        <w:tc>
          <w:tcPr>
            <w:tcW w:w="1134" w:type="dxa"/>
          </w:tcPr>
          <w:p w:rsidR="003F2227" w:rsidRPr="007A57FC" w:rsidRDefault="003F2227" w:rsidP="003F222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OGP SU</w:t>
            </w:r>
          </w:p>
        </w:tc>
        <w:tc>
          <w:tcPr>
            <w:tcW w:w="1701" w:type="dxa"/>
          </w:tcPr>
          <w:p w:rsidR="003F2227" w:rsidRPr="007A57FC" w:rsidRDefault="003F2227" w:rsidP="003F222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MOJ </w:t>
            </w:r>
          </w:p>
        </w:tc>
        <w:tc>
          <w:tcPr>
            <w:tcW w:w="2835" w:type="dxa"/>
          </w:tcPr>
          <w:p w:rsidR="003F2227" w:rsidRPr="007A57FC" w:rsidRDefault="003F2227" w:rsidP="003F2227">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We are considering this suggestion and adding the “OGP Georgia” section to the Global Summit website we’ve launched. </w:t>
            </w:r>
          </w:p>
        </w:tc>
      </w:tr>
      <w:tr w:rsidR="002D09A3" w:rsidRPr="007A57FC" w:rsidTr="00742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Pr>
          <w:p w:rsidR="002D09A3" w:rsidRPr="007A57FC" w:rsidRDefault="002D09A3" w:rsidP="002D09A3">
            <w:pPr>
              <w:jc w:val="center"/>
              <w:rPr>
                <w:rFonts w:ascii="Cambria" w:hAnsi="Cambria" w:cs="Sylfaen"/>
                <w:color w:val="1F4E79" w:themeColor="accent1" w:themeShade="80"/>
                <w:szCs w:val="20"/>
              </w:rPr>
            </w:pPr>
            <w:r w:rsidRPr="007A57FC">
              <w:rPr>
                <w:rFonts w:ascii="Cambria" w:hAnsi="Cambria" w:cs="Sylfaen"/>
                <w:color w:val="1F4E79" w:themeColor="accent1" w:themeShade="80"/>
                <w:szCs w:val="20"/>
              </w:rPr>
              <w:t>Independent Reporting Mechanism (IRM) Recommendations</w:t>
            </w:r>
          </w:p>
        </w:tc>
      </w:tr>
      <w:tr w:rsidR="00BA49DC" w:rsidRPr="007A57FC" w:rsidTr="00942CB2">
        <w:tc>
          <w:tcPr>
            <w:cnfStyle w:val="001000000000" w:firstRow="0" w:lastRow="0" w:firstColumn="1" w:lastColumn="0" w:oddVBand="0" w:evenVBand="0" w:oddHBand="0" w:evenHBand="0" w:firstRowFirstColumn="0" w:firstRowLastColumn="0" w:lastRowFirstColumn="0" w:lastRowLastColumn="0"/>
            <w:tcW w:w="3119" w:type="dxa"/>
          </w:tcPr>
          <w:p w:rsidR="00BA49DC" w:rsidRPr="007A57FC" w:rsidRDefault="002D09A3" w:rsidP="006B4DF4">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Raising public awareness about OGP Georgia</w:t>
            </w:r>
          </w:p>
        </w:tc>
        <w:tc>
          <w:tcPr>
            <w:tcW w:w="5386" w:type="dxa"/>
          </w:tcPr>
          <w:p w:rsidR="00BA49DC" w:rsidRPr="007A57FC" w:rsidRDefault="002D09A3" w:rsidP="00AA5A89">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Develop a wide-ranging public awareness campaign about the values and benefits of Open Government and OGP.</w:t>
            </w:r>
          </w:p>
        </w:tc>
        <w:tc>
          <w:tcPr>
            <w:tcW w:w="1134" w:type="dxa"/>
          </w:tcPr>
          <w:p w:rsidR="00BA49DC" w:rsidRPr="007A57FC" w:rsidRDefault="002D09A3"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IRM</w:t>
            </w:r>
          </w:p>
        </w:tc>
        <w:tc>
          <w:tcPr>
            <w:tcW w:w="1701" w:type="dxa"/>
          </w:tcPr>
          <w:p w:rsidR="00BA49DC" w:rsidRPr="007A57FC" w:rsidRDefault="00BA49DC"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p>
        </w:tc>
        <w:tc>
          <w:tcPr>
            <w:tcW w:w="2835" w:type="dxa"/>
          </w:tcPr>
          <w:p w:rsidR="00BA49DC" w:rsidRPr="007A57FC" w:rsidRDefault="00586C75"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This is planned for the Pre-Summit period and we could do this for the public consultations as well</w:t>
            </w:r>
          </w:p>
        </w:tc>
      </w:tr>
      <w:tr w:rsidR="00BA49DC" w:rsidRPr="007A57FC" w:rsidTr="00942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BA49DC" w:rsidRPr="007A57FC" w:rsidRDefault="002D09A3" w:rsidP="006B4DF4">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Open Contracting Data Standard</w:t>
            </w:r>
          </w:p>
        </w:tc>
        <w:tc>
          <w:tcPr>
            <w:tcW w:w="5386" w:type="dxa"/>
          </w:tcPr>
          <w:p w:rsidR="00BA49DC" w:rsidRPr="007A57FC" w:rsidRDefault="002D09A3" w:rsidP="00AA5A89">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Adapt and use the Open Contracting Data Standard in conjunction with stakeholder collaboration to increase transparency of government contracts in licensing of natural resources, privatization and public procurement in infrastructure projects.</w:t>
            </w:r>
          </w:p>
        </w:tc>
        <w:tc>
          <w:tcPr>
            <w:tcW w:w="1134" w:type="dxa"/>
          </w:tcPr>
          <w:p w:rsidR="00BA49DC" w:rsidRPr="007A57FC" w:rsidRDefault="002D09A3"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IRM</w:t>
            </w:r>
          </w:p>
        </w:tc>
        <w:tc>
          <w:tcPr>
            <w:tcW w:w="1701" w:type="dxa"/>
          </w:tcPr>
          <w:p w:rsidR="00BA49DC" w:rsidRPr="007A57FC" w:rsidRDefault="002D09A3"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SPA</w:t>
            </w:r>
          </w:p>
        </w:tc>
        <w:tc>
          <w:tcPr>
            <w:tcW w:w="2835" w:type="dxa"/>
          </w:tcPr>
          <w:p w:rsidR="00BA49DC" w:rsidRPr="007A57FC" w:rsidRDefault="002D09A3"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Open Contracting Partnership (OCP) and the OGP SU is working with the SPA to organize a workshop and discuss issues related to the Open Contracting Data Standard. </w:t>
            </w:r>
          </w:p>
        </w:tc>
      </w:tr>
      <w:tr w:rsidR="00BA49DC" w:rsidRPr="007A57FC" w:rsidTr="00942CB2">
        <w:tc>
          <w:tcPr>
            <w:cnfStyle w:val="001000000000" w:firstRow="0" w:lastRow="0" w:firstColumn="1" w:lastColumn="0" w:oddVBand="0" w:evenVBand="0" w:oddHBand="0" w:evenHBand="0" w:firstRowFirstColumn="0" w:firstRowLastColumn="0" w:lastRowFirstColumn="0" w:lastRowLastColumn="0"/>
            <w:tcW w:w="3119" w:type="dxa"/>
          </w:tcPr>
          <w:p w:rsidR="00BA49DC" w:rsidRPr="007A57FC" w:rsidRDefault="002D09A3" w:rsidP="006B4DF4">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Adoption of the Freedom of Information Law</w:t>
            </w:r>
          </w:p>
        </w:tc>
        <w:tc>
          <w:tcPr>
            <w:tcW w:w="5386" w:type="dxa"/>
          </w:tcPr>
          <w:p w:rsidR="00BA49DC" w:rsidRPr="007A57FC" w:rsidRDefault="002D09A3" w:rsidP="00AA5A89">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Ensure the prompt adoption of the Freedom of Information Law with key provisions provided on universal standards for proactive disclosure in open data format, and the independent oversight and enforcement mechanisms.</w:t>
            </w:r>
          </w:p>
        </w:tc>
        <w:tc>
          <w:tcPr>
            <w:tcW w:w="1134" w:type="dxa"/>
          </w:tcPr>
          <w:p w:rsidR="00BA49DC" w:rsidRPr="007A57FC" w:rsidRDefault="002D09A3"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IRM</w:t>
            </w:r>
          </w:p>
        </w:tc>
        <w:tc>
          <w:tcPr>
            <w:tcW w:w="1701" w:type="dxa"/>
          </w:tcPr>
          <w:p w:rsidR="00BA49DC" w:rsidRPr="007A57FC" w:rsidRDefault="002D09A3"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MOJ</w:t>
            </w:r>
          </w:p>
        </w:tc>
        <w:tc>
          <w:tcPr>
            <w:tcW w:w="2835" w:type="dxa"/>
          </w:tcPr>
          <w:p w:rsidR="00BA49DC" w:rsidRPr="007A57FC" w:rsidRDefault="002D09A3"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On track </w:t>
            </w:r>
          </w:p>
        </w:tc>
      </w:tr>
      <w:tr w:rsidR="00456B65" w:rsidRPr="007A57FC" w:rsidTr="00C4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Pr>
          <w:p w:rsidR="00456B65" w:rsidRPr="007A57FC" w:rsidRDefault="00942CB2" w:rsidP="00456B65">
            <w:pPr>
              <w:jc w:val="center"/>
              <w:rPr>
                <w:rFonts w:ascii="Cambria" w:hAnsi="Cambria" w:cs="Sylfaen"/>
                <w:color w:val="1F4E79" w:themeColor="accent1" w:themeShade="80"/>
                <w:sz w:val="24"/>
                <w:szCs w:val="24"/>
              </w:rPr>
            </w:pPr>
            <w:r w:rsidRPr="007A57FC">
              <w:rPr>
                <w:rFonts w:ascii="Cambria" w:hAnsi="Cambria" w:cs="Sylfaen"/>
                <w:color w:val="1F4E79" w:themeColor="accent1" w:themeShade="80"/>
                <w:szCs w:val="24"/>
              </w:rPr>
              <w:t xml:space="preserve">Recommendations and </w:t>
            </w:r>
            <w:r w:rsidR="00456B65" w:rsidRPr="007A57FC">
              <w:rPr>
                <w:rFonts w:ascii="Cambria" w:hAnsi="Cambria" w:cs="Sylfaen"/>
                <w:color w:val="1F4E79" w:themeColor="accent1" w:themeShade="80"/>
                <w:szCs w:val="24"/>
              </w:rPr>
              <w:t>Examples to consider from OGP countries</w:t>
            </w:r>
          </w:p>
        </w:tc>
      </w:tr>
      <w:tr w:rsidR="00942CB2" w:rsidRPr="007A57FC" w:rsidTr="00942CB2">
        <w:tc>
          <w:tcPr>
            <w:cnfStyle w:val="001000000000" w:firstRow="0" w:lastRow="0" w:firstColumn="1" w:lastColumn="0" w:oddVBand="0" w:evenVBand="0" w:oddHBand="0" w:evenHBand="0" w:firstRowFirstColumn="0" w:firstRowLastColumn="0" w:lastRowFirstColumn="0" w:lastRowLastColumn="0"/>
            <w:tcW w:w="3119" w:type="dxa"/>
          </w:tcPr>
          <w:p w:rsidR="00942CB2" w:rsidRPr="007A57FC" w:rsidRDefault="00942CB2" w:rsidP="00942CB2">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lastRenderedPageBreak/>
              <w:t>Extractive Industry Transparency Initiative (EITI)</w:t>
            </w:r>
          </w:p>
        </w:tc>
        <w:tc>
          <w:tcPr>
            <w:tcW w:w="5386" w:type="dxa"/>
          </w:tcPr>
          <w:p w:rsidR="00942CB2" w:rsidRPr="007A57FC" w:rsidRDefault="00942CB2" w:rsidP="00942CB2">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Join the EITI with a focus on transit transparency</w:t>
            </w:r>
          </w:p>
        </w:tc>
        <w:tc>
          <w:tcPr>
            <w:tcW w:w="1134" w:type="dxa"/>
          </w:tcPr>
          <w:p w:rsidR="00942CB2" w:rsidRPr="007A57FC" w:rsidRDefault="00942CB2" w:rsidP="00942CB2">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OGP SU</w:t>
            </w:r>
          </w:p>
        </w:tc>
        <w:tc>
          <w:tcPr>
            <w:tcW w:w="1701" w:type="dxa"/>
          </w:tcPr>
          <w:p w:rsidR="00942CB2" w:rsidRPr="007A57FC" w:rsidRDefault="00942CB2" w:rsidP="00942CB2">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p>
        </w:tc>
        <w:tc>
          <w:tcPr>
            <w:tcW w:w="2835" w:type="dxa"/>
          </w:tcPr>
          <w:p w:rsidR="00942CB2" w:rsidRPr="007A57FC" w:rsidRDefault="00586C75" w:rsidP="00942CB2">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Decision to be made by the GOG</w:t>
            </w:r>
          </w:p>
        </w:tc>
      </w:tr>
      <w:tr w:rsidR="00942CB2" w:rsidRPr="007A57FC" w:rsidTr="00942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BA49DC" w:rsidRPr="007A57FC" w:rsidRDefault="00456B65" w:rsidP="006B4DF4">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Beneficial ownership</w:t>
            </w:r>
          </w:p>
        </w:tc>
        <w:tc>
          <w:tcPr>
            <w:tcW w:w="5386" w:type="dxa"/>
          </w:tcPr>
          <w:p w:rsidR="00084477" w:rsidRPr="007A57FC" w:rsidRDefault="00084477" w:rsidP="00AA5A89">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Recommendation: Establish a public registry for disclosure of beneficial ownership information and using the OGP NAP to implement pledges made at the 2015 London Anti-Corruption Summit and reforms covered by other international or bilateral agreements for e.g. the EU Association Agenda.</w:t>
            </w:r>
          </w:p>
          <w:p w:rsidR="00084477" w:rsidRPr="007A57FC" w:rsidRDefault="00084477" w:rsidP="00AA5A89">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p>
          <w:p w:rsidR="00BA49DC" w:rsidRPr="007A57FC" w:rsidRDefault="00456B65" w:rsidP="00AA5A89">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Beneficial ownership has seen growing traction following the 2016 UK Anti-Corruption Summit - till date, 15 countries have made commitments on beneficial ownership, including Ukraine, UK, South Africa, Bulgaria, Slovakia, Ghana, Kenya, Liberia, Mongolia and Nigeria. Some countries like Mongolia and Liberia  have taken a sectoral approach, tackling it starting from the extractives sector, while others like UK, Slovakia and Ukraine have taken a cross-sectoral approach, with plans to integrate their data with a global public register</w:t>
            </w:r>
          </w:p>
        </w:tc>
        <w:tc>
          <w:tcPr>
            <w:tcW w:w="1134" w:type="dxa"/>
          </w:tcPr>
          <w:p w:rsidR="00BA49DC" w:rsidRPr="007A57FC" w:rsidRDefault="00456B65"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OGP SU</w:t>
            </w:r>
          </w:p>
        </w:tc>
        <w:tc>
          <w:tcPr>
            <w:tcW w:w="1701" w:type="dxa"/>
          </w:tcPr>
          <w:p w:rsidR="00BA49DC" w:rsidRPr="007A57FC" w:rsidRDefault="00BA49DC"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p>
        </w:tc>
        <w:tc>
          <w:tcPr>
            <w:tcW w:w="2835" w:type="dxa"/>
          </w:tcPr>
          <w:p w:rsidR="00BA49DC" w:rsidRPr="007A57FC" w:rsidRDefault="00586C75"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Decision to be made by the GOG</w:t>
            </w:r>
          </w:p>
        </w:tc>
      </w:tr>
      <w:tr w:rsidR="00942CB2" w:rsidRPr="007A57FC" w:rsidTr="00942CB2">
        <w:tc>
          <w:tcPr>
            <w:cnfStyle w:val="001000000000" w:firstRow="0" w:lastRow="0" w:firstColumn="1" w:lastColumn="0" w:oddVBand="0" w:evenVBand="0" w:oddHBand="0" w:evenHBand="0" w:firstRowFirstColumn="0" w:firstRowLastColumn="0" w:lastRowFirstColumn="0" w:lastRowLastColumn="0"/>
            <w:tcW w:w="3119" w:type="dxa"/>
          </w:tcPr>
          <w:p w:rsidR="00942CB2" w:rsidRPr="007A57FC" w:rsidRDefault="00942CB2" w:rsidP="006B4DF4">
            <w:pPr>
              <w:rPr>
                <w:rFonts w:ascii="Cambria" w:hAnsi="Cambria" w:cs="Sylfaen"/>
                <w:b w:val="0"/>
                <w:color w:val="1F4E79" w:themeColor="accent1" w:themeShade="80"/>
                <w:sz w:val="20"/>
                <w:szCs w:val="20"/>
              </w:rPr>
            </w:pPr>
            <w:r w:rsidRPr="007A57FC">
              <w:rPr>
                <w:rFonts w:ascii="Cambria" w:hAnsi="Cambria" w:cs="Sylfaen"/>
                <w:color w:val="1F4E79" w:themeColor="accent1" w:themeShade="80"/>
                <w:sz w:val="20"/>
                <w:szCs w:val="20"/>
              </w:rPr>
              <w:t>Construction sector transparency</w:t>
            </w:r>
          </w:p>
        </w:tc>
        <w:tc>
          <w:tcPr>
            <w:tcW w:w="5386" w:type="dxa"/>
          </w:tcPr>
          <w:p w:rsidR="00942CB2" w:rsidRPr="007A57FC" w:rsidRDefault="00942CB2" w:rsidP="00942CB2">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Construction sector transparency and accountability. corruption was named as another potential topic as the issue has become very relevant for the Georgian context</w:t>
            </w:r>
          </w:p>
        </w:tc>
        <w:tc>
          <w:tcPr>
            <w:tcW w:w="1134" w:type="dxa"/>
          </w:tcPr>
          <w:p w:rsidR="00942CB2" w:rsidRPr="007A57FC" w:rsidRDefault="00942CB2"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OGP SU</w:t>
            </w:r>
          </w:p>
        </w:tc>
        <w:tc>
          <w:tcPr>
            <w:tcW w:w="1701" w:type="dxa"/>
          </w:tcPr>
          <w:p w:rsidR="00942CB2" w:rsidRPr="007A57FC" w:rsidRDefault="00942CB2"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p>
        </w:tc>
        <w:tc>
          <w:tcPr>
            <w:tcW w:w="2835" w:type="dxa"/>
          </w:tcPr>
          <w:p w:rsidR="00942CB2" w:rsidRPr="007A57FC" w:rsidRDefault="00942CB2"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As the recommendation is quite vague, we could request clarifications </w:t>
            </w:r>
          </w:p>
        </w:tc>
      </w:tr>
      <w:tr w:rsidR="00942CB2" w:rsidRPr="007A57FC" w:rsidTr="00942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942CB2" w:rsidRPr="007A57FC" w:rsidRDefault="00942CB2" w:rsidP="006B4DF4">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Monitoring asset declarations</w:t>
            </w:r>
          </w:p>
        </w:tc>
        <w:tc>
          <w:tcPr>
            <w:tcW w:w="5386" w:type="dxa"/>
          </w:tcPr>
          <w:p w:rsidR="00942CB2" w:rsidRPr="007A57FC" w:rsidRDefault="00942CB2" w:rsidP="00942CB2">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Further improvements to the system of monitoring asset declarations and establishing an independent group for checking declarations. The Civil Service Bureau should proactively publish the list of individuals violating asset and income disclosure requirements</w:t>
            </w:r>
          </w:p>
        </w:tc>
        <w:tc>
          <w:tcPr>
            <w:tcW w:w="1134" w:type="dxa"/>
          </w:tcPr>
          <w:p w:rsidR="00942CB2" w:rsidRPr="007A57FC" w:rsidRDefault="00942CB2"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OGP SU</w:t>
            </w:r>
          </w:p>
        </w:tc>
        <w:tc>
          <w:tcPr>
            <w:tcW w:w="1701" w:type="dxa"/>
          </w:tcPr>
          <w:p w:rsidR="00942CB2" w:rsidRPr="007A57FC" w:rsidRDefault="00942CB2"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p>
        </w:tc>
        <w:tc>
          <w:tcPr>
            <w:tcW w:w="2835" w:type="dxa"/>
          </w:tcPr>
          <w:p w:rsidR="00942CB2" w:rsidRPr="007A57FC" w:rsidRDefault="00942CB2"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The CSB has started publishing the list of individuals violating asset declaration requirements. </w:t>
            </w:r>
          </w:p>
        </w:tc>
      </w:tr>
      <w:tr w:rsidR="00942CB2" w:rsidRPr="007A57FC" w:rsidTr="00942CB2">
        <w:tc>
          <w:tcPr>
            <w:cnfStyle w:val="001000000000" w:firstRow="0" w:lastRow="0" w:firstColumn="1" w:lastColumn="0" w:oddVBand="0" w:evenVBand="0" w:oddHBand="0" w:evenHBand="0" w:firstRowFirstColumn="0" w:firstRowLastColumn="0" w:lastRowFirstColumn="0" w:lastRowLastColumn="0"/>
            <w:tcW w:w="3119" w:type="dxa"/>
          </w:tcPr>
          <w:p w:rsidR="00BA49DC" w:rsidRPr="007A57FC" w:rsidRDefault="00456B65" w:rsidP="006B4DF4">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Open contracting</w:t>
            </w:r>
          </w:p>
        </w:tc>
        <w:tc>
          <w:tcPr>
            <w:tcW w:w="5386" w:type="dxa"/>
          </w:tcPr>
          <w:p w:rsidR="00084477" w:rsidRPr="007A57FC" w:rsidRDefault="00084477" w:rsidP="00AA5A89">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Improving open contracting particularly around transparency and accountability of simplified procurement practices. While some agencies are beginning to publish historical data in OCDS format, there is a real need for current data to be published to allow for real time monitoring. While public agencies seem to be familiar with publishing in the open contracting data standard, practices are not institutionalized.</w:t>
            </w:r>
          </w:p>
          <w:p w:rsidR="00084477" w:rsidRPr="007A57FC" w:rsidRDefault="00084477" w:rsidP="00AA5A89">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p>
          <w:p w:rsidR="00BA49DC" w:rsidRPr="007A57FC" w:rsidRDefault="00456B65" w:rsidP="00AA5A89">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Albania, Argentina, Australia, Canada, Chile, Colombia, Dominican Republic, Ghana, Guatemala, Kenya, Macedonia, Mongolia, Moldova, UK and Uruguay are amongst countries </w:t>
            </w:r>
            <w:r w:rsidRPr="007A57FC">
              <w:rPr>
                <w:rFonts w:ascii="Cambria" w:hAnsi="Cambria" w:cs="Sylfaen"/>
                <w:color w:val="1F4E79" w:themeColor="accent1" w:themeShade="80"/>
                <w:sz w:val="20"/>
                <w:szCs w:val="20"/>
              </w:rPr>
              <w:lastRenderedPageBreak/>
              <w:t>that have included open contracting commitments in their OGP action plans. Paraguay, Mexico and Ukraine are emerging as countries where contracting data is being used by citizens and civil society to monitor public contracts to potentially uncover waste, leakage and inefficiencies. At the 2016 OGP Global Summit Governments of Colombia, France, Mexico, United Kingdom and Ukraine founded the Contracting 5 – now including the Government of Argentina - working to foster openness, innovation, integrity and better business and civic engagement in government contracting and procurement.</w:t>
            </w:r>
          </w:p>
        </w:tc>
        <w:tc>
          <w:tcPr>
            <w:tcW w:w="1134" w:type="dxa"/>
          </w:tcPr>
          <w:p w:rsidR="00BA49DC" w:rsidRPr="007A57FC" w:rsidRDefault="00456B65"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lastRenderedPageBreak/>
              <w:t>OGP SU</w:t>
            </w:r>
          </w:p>
        </w:tc>
        <w:tc>
          <w:tcPr>
            <w:tcW w:w="1701" w:type="dxa"/>
          </w:tcPr>
          <w:p w:rsidR="00BA49DC" w:rsidRPr="007A57FC" w:rsidRDefault="00BA49DC"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p>
        </w:tc>
        <w:tc>
          <w:tcPr>
            <w:tcW w:w="2835" w:type="dxa"/>
          </w:tcPr>
          <w:p w:rsidR="00BA49DC" w:rsidRPr="007A57FC" w:rsidRDefault="00586C75"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Open Contracting Partnership (OCP) and the OGP SU is working with the SPA to organize a workshop and discuss issues related to the Open Contracting Data Standard.</w:t>
            </w:r>
          </w:p>
          <w:p w:rsidR="00F21FAA" w:rsidRPr="007A57FC" w:rsidRDefault="00F21FAA"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p>
          <w:p w:rsidR="00F21FAA" w:rsidRPr="007A57FC" w:rsidRDefault="00F21FAA"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p>
        </w:tc>
      </w:tr>
      <w:tr w:rsidR="00942CB2" w:rsidRPr="007A57FC" w:rsidTr="00942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456B65" w:rsidRPr="007A57FC" w:rsidRDefault="00456B65" w:rsidP="006B4DF4">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lastRenderedPageBreak/>
              <w:t>Citizen Engagement</w:t>
            </w:r>
          </w:p>
          <w:p w:rsidR="00942CB2" w:rsidRPr="007A57FC" w:rsidRDefault="00942CB2" w:rsidP="006B4DF4">
            <w:pPr>
              <w:rPr>
                <w:rFonts w:ascii="Cambria" w:hAnsi="Cambria" w:cs="Sylfaen"/>
                <w:b w:val="0"/>
                <w:color w:val="1F4E79" w:themeColor="accent1" w:themeShade="80"/>
                <w:sz w:val="20"/>
                <w:szCs w:val="20"/>
              </w:rPr>
            </w:pPr>
          </w:p>
          <w:p w:rsidR="00942CB2" w:rsidRPr="007A57FC" w:rsidRDefault="00942CB2" w:rsidP="00942CB2">
            <w:pPr>
              <w:pStyle w:val="ListParagraph"/>
              <w:numPr>
                <w:ilvl w:val="0"/>
                <w:numId w:val="8"/>
              </w:numPr>
              <w:rPr>
                <w:rFonts w:ascii="Cambria" w:hAnsi="Cambria" w:cs="Sylfaen"/>
                <w:b w:val="0"/>
                <w:color w:val="1F4E79" w:themeColor="accent1" w:themeShade="80"/>
                <w:sz w:val="20"/>
                <w:szCs w:val="20"/>
              </w:rPr>
            </w:pPr>
            <w:r w:rsidRPr="007A57FC">
              <w:rPr>
                <w:rFonts w:ascii="Cambria" w:hAnsi="Cambria" w:cs="Sylfaen"/>
                <w:b w:val="0"/>
                <w:color w:val="1F4E79" w:themeColor="accent1" w:themeShade="80"/>
                <w:sz w:val="20"/>
                <w:szCs w:val="20"/>
              </w:rPr>
              <w:t xml:space="preserve">Create legal basis for citizen participation, so that it becomes mandatory for the government to hold public consultations at all stages of developing draft policy documents and legislative acts. </w:t>
            </w:r>
          </w:p>
          <w:p w:rsidR="00942CB2" w:rsidRPr="007A57FC" w:rsidRDefault="00942CB2" w:rsidP="00942CB2">
            <w:pPr>
              <w:pStyle w:val="ListParagraph"/>
              <w:numPr>
                <w:ilvl w:val="0"/>
                <w:numId w:val="8"/>
              </w:numPr>
              <w:rPr>
                <w:rFonts w:ascii="Cambria" w:hAnsi="Cambria" w:cs="Sylfaen"/>
                <w:b w:val="0"/>
                <w:color w:val="1F4E79" w:themeColor="accent1" w:themeShade="80"/>
                <w:sz w:val="20"/>
                <w:szCs w:val="20"/>
              </w:rPr>
            </w:pPr>
            <w:r w:rsidRPr="007A57FC">
              <w:rPr>
                <w:rFonts w:ascii="Cambria" w:hAnsi="Cambria" w:cs="Sylfaen"/>
                <w:b w:val="0"/>
                <w:color w:val="1F4E79" w:themeColor="accent1" w:themeShade="80"/>
                <w:sz w:val="20"/>
                <w:szCs w:val="20"/>
              </w:rPr>
              <w:t>To make participation more inclusive and impactful, it would be good to avoid having electronic only participation mechanisms, and include commitments on offline engagement of citizens, for example: a box of complaints/comments, similar to the Justice House project called the Voice of the Customer; thematic public meetings/hearings etc. Also, there were suggestions to focus on developing participatory mechanisms targeting socially vulnerable groups.</w:t>
            </w:r>
          </w:p>
          <w:p w:rsidR="00942CB2" w:rsidRPr="007A57FC" w:rsidRDefault="00942CB2" w:rsidP="00942CB2">
            <w:pPr>
              <w:pStyle w:val="ListParagraph"/>
              <w:numPr>
                <w:ilvl w:val="0"/>
                <w:numId w:val="8"/>
              </w:numPr>
              <w:rPr>
                <w:rFonts w:ascii="Cambria" w:hAnsi="Cambria" w:cs="Sylfaen"/>
                <w:color w:val="1F4E79" w:themeColor="accent1" w:themeShade="80"/>
                <w:sz w:val="20"/>
                <w:szCs w:val="20"/>
              </w:rPr>
            </w:pPr>
            <w:r w:rsidRPr="007A57FC">
              <w:rPr>
                <w:rFonts w:ascii="Cambria" w:hAnsi="Cambria" w:cs="Sylfaen"/>
                <w:b w:val="0"/>
                <w:color w:val="1F4E79" w:themeColor="accent1" w:themeShade="80"/>
                <w:sz w:val="20"/>
                <w:szCs w:val="20"/>
              </w:rPr>
              <w:lastRenderedPageBreak/>
              <w:t>Create a unified public portal/catalogue which will include all public services and projects, such as budget monitor, I-Change and others. They can be displayed and accessible in one single space.</w:t>
            </w:r>
          </w:p>
        </w:tc>
        <w:tc>
          <w:tcPr>
            <w:tcW w:w="5386" w:type="dxa"/>
          </w:tcPr>
          <w:p w:rsidR="00456B65" w:rsidRPr="007A57FC" w:rsidRDefault="00456B65" w:rsidP="00456B6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lastRenderedPageBreak/>
              <w:t xml:space="preserve">In </w:t>
            </w:r>
            <w:r w:rsidRPr="007A57FC">
              <w:rPr>
                <w:rFonts w:ascii="Cambria" w:hAnsi="Cambria" w:cs="Sylfaen"/>
                <w:b/>
                <w:color w:val="1F4E79" w:themeColor="accent1" w:themeShade="80"/>
                <w:sz w:val="20"/>
                <w:szCs w:val="20"/>
              </w:rPr>
              <w:t>Estonia,</w:t>
            </w:r>
            <w:r w:rsidRPr="007A57FC">
              <w:rPr>
                <w:rFonts w:ascii="Cambria" w:hAnsi="Cambria" w:cs="Sylfaen"/>
                <w:color w:val="1F4E79" w:themeColor="accent1" w:themeShade="80"/>
                <w:sz w:val="20"/>
                <w:szCs w:val="20"/>
              </w:rPr>
              <w:t xml:space="preserve"> citizens are engaged online and offline through the People’s Assembly or </w:t>
            </w:r>
            <w:proofErr w:type="spellStart"/>
            <w:r w:rsidRPr="007A57FC">
              <w:rPr>
                <w:rFonts w:ascii="Cambria" w:hAnsi="Cambria" w:cs="Sylfaen"/>
                <w:color w:val="1F4E79" w:themeColor="accent1" w:themeShade="80"/>
                <w:sz w:val="20"/>
                <w:szCs w:val="20"/>
              </w:rPr>
              <w:t>Rahvakogu</w:t>
            </w:r>
            <w:proofErr w:type="spellEnd"/>
            <w:r w:rsidRPr="007A57FC">
              <w:rPr>
                <w:rFonts w:ascii="Cambria" w:hAnsi="Cambria" w:cs="Sylfaen"/>
                <w:color w:val="1F4E79" w:themeColor="accent1" w:themeShade="80"/>
                <w:sz w:val="20"/>
                <w:szCs w:val="20"/>
              </w:rPr>
              <w:t xml:space="preserve"> platform to crowdsource, prioritize and vote on proposals to amend the country’s electoral and political party laws, and </w:t>
            </w:r>
            <w:hyperlink r:id="rId9" w:history="1">
              <w:r w:rsidRPr="007A57FC">
                <w:rPr>
                  <w:rStyle w:val="Hyperlink"/>
                  <w:rFonts w:ascii="Cambria" w:hAnsi="Cambria" w:cs="Sylfaen"/>
                  <w:sz w:val="20"/>
                  <w:szCs w:val="20"/>
                </w:rPr>
                <w:t>crowdsource solutions to overhaul the country’s pension system</w:t>
              </w:r>
            </w:hyperlink>
            <w:r w:rsidRPr="007A57FC">
              <w:rPr>
                <w:rFonts w:ascii="Cambria" w:hAnsi="Cambria" w:cs="Sylfaen"/>
                <w:color w:val="1F4E79" w:themeColor="accent1" w:themeShade="80"/>
                <w:sz w:val="20"/>
                <w:szCs w:val="20"/>
              </w:rPr>
              <w:t xml:space="preserve"> through the public petition system.</w:t>
            </w:r>
          </w:p>
          <w:p w:rsidR="00456B65" w:rsidRPr="007A57FC" w:rsidRDefault="00456B65" w:rsidP="00456B6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In </w:t>
            </w:r>
            <w:r w:rsidRPr="007A57FC">
              <w:rPr>
                <w:rFonts w:ascii="Cambria" w:hAnsi="Cambria" w:cs="Sylfaen"/>
                <w:b/>
                <w:color w:val="1F4E79" w:themeColor="accent1" w:themeShade="80"/>
                <w:sz w:val="20"/>
                <w:szCs w:val="20"/>
              </w:rPr>
              <w:t>Brazil</w:t>
            </w:r>
            <w:r w:rsidRPr="007A57FC">
              <w:rPr>
                <w:rFonts w:ascii="Cambria" w:hAnsi="Cambria" w:cs="Sylfaen"/>
                <w:color w:val="1F4E79" w:themeColor="accent1" w:themeShade="80"/>
                <w:sz w:val="20"/>
                <w:szCs w:val="20"/>
              </w:rPr>
              <w:t xml:space="preserve">, </w:t>
            </w:r>
            <w:hyperlink r:id="rId10" w:history="1">
              <w:r w:rsidRPr="007A57FC">
                <w:rPr>
                  <w:rStyle w:val="Hyperlink"/>
                  <w:rFonts w:ascii="Cambria" w:hAnsi="Cambria" w:cs="Sylfaen"/>
                  <w:sz w:val="20"/>
                  <w:szCs w:val="20"/>
                </w:rPr>
                <w:t>Participa.br</w:t>
              </w:r>
            </w:hyperlink>
            <w:r w:rsidRPr="007A57FC">
              <w:rPr>
                <w:rFonts w:ascii="Cambria" w:hAnsi="Cambria" w:cs="Sylfaen"/>
                <w:color w:val="1F4E79" w:themeColor="accent1" w:themeShade="80"/>
                <w:sz w:val="20"/>
                <w:szCs w:val="20"/>
              </w:rPr>
              <w:t xml:space="preserve"> allows citizens to learn about the latest public consultation opportunities, as well as join one of the site’s many online forums, or even create their own, to discuss the issues that interest them alongside other engaged citizens. As new proposals gain traction, the Particpa.br team will bring in a government official to further enhance the discussion and move toward action.</w:t>
            </w:r>
          </w:p>
          <w:p w:rsidR="00456B65" w:rsidRPr="007A57FC" w:rsidRDefault="00456B65" w:rsidP="00456B6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b/>
                <w:color w:val="1F4E79" w:themeColor="accent1" w:themeShade="80"/>
                <w:sz w:val="20"/>
                <w:szCs w:val="20"/>
              </w:rPr>
              <w:t>Paris</w:t>
            </w:r>
            <w:r w:rsidRPr="007A57FC">
              <w:rPr>
                <w:rFonts w:ascii="Cambria" w:hAnsi="Cambria" w:cs="Sylfaen"/>
                <w:color w:val="1F4E79" w:themeColor="accent1" w:themeShade="80"/>
                <w:sz w:val="20"/>
                <w:szCs w:val="20"/>
              </w:rPr>
              <w:t xml:space="preserve"> and </w:t>
            </w:r>
            <w:r w:rsidRPr="007A57FC">
              <w:rPr>
                <w:rFonts w:ascii="Cambria" w:hAnsi="Cambria" w:cs="Sylfaen"/>
                <w:b/>
                <w:color w:val="1F4E79" w:themeColor="accent1" w:themeShade="80"/>
                <w:sz w:val="20"/>
                <w:szCs w:val="20"/>
              </w:rPr>
              <w:t>Madrid</w:t>
            </w:r>
            <w:r w:rsidRPr="007A57FC">
              <w:rPr>
                <w:rFonts w:ascii="Cambria" w:hAnsi="Cambria" w:cs="Sylfaen"/>
                <w:color w:val="1F4E79" w:themeColor="accent1" w:themeShade="80"/>
                <w:sz w:val="20"/>
                <w:szCs w:val="20"/>
              </w:rPr>
              <w:t xml:space="preserve"> have introduced participatory budgeting, so citizens set priorities and fund projects that meet their needs.</w:t>
            </w:r>
          </w:p>
          <w:p w:rsidR="00456B65" w:rsidRPr="007A57FC" w:rsidRDefault="00456B65" w:rsidP="00456B6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In </w:t>
            </w:r>
            <w:r w:rsidRPr="007A57FC">
              <w:rPr>
                <w:rFonts w:ascii="Cambria" w:hAnsi="Cambria" w:cs="Sylfaen"/>
                <w:b/>
                <w:color w:val="1F4E79" w:themeColor="accent1" w:themeShade="80"/>
                <w:sz w:val="20"/>
                <w:szCs w:val="20"/>
              </w:rPr>
              <w:t>Italy,</w:t>
            </w:r>
            <w:r w:rsidRPr="007A57FC">
              <w:rPr>
                <w:rFonts w:ascii="Cambria" w:hAnsi="Cambria" w:cs="Sylfaen"/>
                <w:color w:val="1F4E79" w:themeColor="accent1" w:themeShade="80"/>
                <w:sz w:val="20"/>
                <w:szCs w:val="20"/>
              </w:rPr>
              <w:t xml:space="preserve"> </w:t>
            </w:r>
            <w:proofErr w:type="spellStart"/>
            <w:r w:rsidRPr="007A57FC">
              <w:rPr>
                <w:rFonts w:ascii="Cambria" w:hAnsi="Cambria" w:cs="Sylfaen"/>
                <w:color w:val="1F4E79" w:themeColor="accent1" w:themeShade="80"/>
                <w:sz w:val="20"/>
                <w:szCs w:val="20"/>
              </w:rPr>
              <w:t>OpenCoesione</w:t>
            </w:r>
            <w:proofErr w:type="spellEnd"/>
            <w:r w:rsidRPr="007A57FC">
              <w:rPr>
                <w:rFonts w:ascii="Cambria" w:hAnsi="Cambria" w:cs="Sylfaen"/>
                <w:color w:val="1F4E79" w:themeColor="accent1" w:themeShade="80"/>
                <w:sz w:val="20"/>
                <w:szCs w:val="20"/>
              </w:rPr>
              <w:t xml:space="preserve"> disclosed the details of 1 million projects and 100 billion in EU funding to empower citizens, journalists, civil society as well as thousands of students to serve as citizen monitors to oversee local projects that they care about. </w:t>
            </w:r>
          </w:p>
          <w:p w:rsidR="00456B65" w:rsidRPr="007A57FC" w:rsidRDefault="00456B65" w:rsidP="00456B6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b/>
                <w:color w:val="1F4E79" w:themeColor="accent1" w:themeShade="80"/>
                <w:sz w:val="20"/>
                <w:szCs w:val="20"/>
              </w:rPr>
              <w:t>Finland,</w:t>
            </w:r>
            <w:r w:rsidRPr="007A57FC">
              <w:rPr>
                <w:rFonts w:ascii="Cambria" w:hAnsi="Cambria" w:cs="Sylfaen"/>
                <w:color w:val="1F4E79" w:themeColor="accent1" w:themeShade="80"/>
                <w:sz w:val="20"/>
                <w:szCs w:val="20"/>
              </w:rPr>
              <w:t xml:space="preserve"> is systematically involving the young, elderly and vulnerable groups in policy making.</w:t>
            </w:r>
          </w:p>
          <w:p w:rsidR="00456B65" w:rsidRPr="007A57FC" w:rsidRDefault="00456B65" w:rsidP="00456B6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lastRenderedPageBreak/>
              <w:t xml:space="preserve">In </w:t>
            </w:r>
            <w:r w:rsidRPr="007A57FC">
              <w:rPr>
                <w:rFonts w:ascii="Cambria" w:hAnsi="Cambria" w:cs="Sylfaen"/>
                <w:b/>
                <w:color w:val="1F4E79" w:themeColor="accent1" w:themeShade="80"/>
                <w:sz w:val="20"/>
                <w:szCs w:val="20"/>
              </w:rPr>
              <w:t>Germany’,</w:t>
            </w:r>
            <w:r w:rsidRPr="007A57FC">
              <w:rPr>
                <w:rFonts w:ascii="Cambria" w:hAnsi="Cambria" w:cs="Sylfaen"/>
                <w:color w:val="1F4E79" w:themeColor="accent1" w:themeShade="80"/>
                <w:sz w:val="20"/>
                <w:szCs w:val="20"/>
              </w:rPr>
              <w:t xml:space="preserve"> the federal government has launched a competition to encourage, reward and disseminate local activities to integrate immigrants.</w:t>
            </w:r>
          </w:p>
          <w:p w:rsidR="00456B65" w:rsidRPr="007A57FC" w:rsidRDefault="00456B65" w:rsidP="00456B6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In the </w:t>
            </w:r>
            <w:r w:rsidRPr="007A57FC">
              <w:rPr>
                <w:rFonts w:ascii="Cambria" w:hAnsi="Cambria" w:cs="Sylfaen"/>
                <w:b/>
                <w:color w:val="1F4E79" w:themeColor="accent1" w:themeShade="80"/>
                <w:sz w:val="20"/>
                <w:szCs w:val="20"/>
              </w:rPr>
              <w:t>Philippines</w:t>
            </w:r>
            <w:r w:rsidRPr="007A57FC">
              <w:rPr>
                <w:rFonts w:ascii="Cambria" w:hAnsi="Cambria" w:cs="Sylfaen"/>
                <w:color w:val="1F4E79" w:themeColor="accent1" w:themeShade="80"/>
                <w:sz w:val="20"/>
                <w:szCs w:val="20"/>
              </w:rPr>
              <w:t xml:space="preserve"> the Commission on Audit conducts audits with citizens as members of the audit teams, to make government more effective, transparent, and accountable.</w:t>
            </w:r>
          </w:p>
        </w:tc>
        <w:tc>
          <w:tcPr>
            <w:tcW w:w="1134" w:type="dxa"/>
          </w:tcPr>
          <w:p w:rsidR="00456B65" w:rsidRPr="007A57FC" w:rsidRDefault="00456B65"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lastRenderedPageBreak/>
              <w:t>OGP SU</w:t>
            </w:r>
          </w:p>
        </w:tc>
        <w:tc>
          <w:tcPr>
            <w:tcW w:w="1701" w:type="dxa"/>
          </w:tcPr>
          <w:p w:rsidR="00456B65" w:rsidRPr="007A57FC" w:rsidRDefault="00456B65"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p>
        </w:tc>
        <w:tc>
          <w:tcPr>
            <w:tcW w:w="2835" w:type="dxa"/>
          </w:tcPr>
          <w:p w:rsidR="00BA4E12" w:rsidRPr="007A57FC" w:rsidRDefault="00BA4E12"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IDFI has a similar recommendation as given in the point 1. </w:t>
            </w:r>
          </w:p>
          <w:p w:rsidR="00BA4E12" w:rsidRPr="007A57FC" w:rsidRDefault="00BA4E12"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p>
          <w:p w:rsidR="00456B65" w:rsidRPr="007A57FC" w:rsidRDefault="00C42241"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One could argue whether the point 3 actually helps citizens or confuses them. </w:t>
            </w:r>
          </w:p>
        </w:tc>
      </w:tr>
      <w:tr w:rsidR="00942CB2" w:rsidRPr="007A57FC" w:rsidTr="00942CB2">
        <w:tc>
          <w:tcPr>
            <w:cnfStyle w:val="001000000000" w:firstRow="0" w:lastRow="0" w:firstColumn="1" w:lastColumn="0" w:oddVBand="0" w:evenVBand="0" w:oddHBand="0" w:evenHBand="0" w:firstRowFirstColumn="0" w:firstRowLastColumn="0" w:lastRowFirstColumn="0" w:lastRowLastColumn="0"/>
            <w:tcW w:w="3119" w:type="dxa"/>
          </w:tcPr>
          <w:p w:rsidR="00942CB2" w:rsidRPr="007A57FC" w:rsidRDefault="00456B65" w:rsidP="006B4DF4">
            <w:pPr>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lastRenderedPageBreak/>
              <w:t>Service Delivery</w:t>
            </w:r>
          </w:p>
          <w:p w:rsidR="00942CB2" w:rsidRPr="007A57FC" w:rsidRDefault="00942CB2" w:rsidP="006B4DF4">
            <w:pPr>
              <w:rPr>
                <w:rFonts w:ascii="Cambria" w:hAnsi="Cambria" w:cs="Sylfaen"/>
                <w:b w:val="0"/>
                <w:color w:val="1F4E79" w:themeColor="accent1" w:themeShade="80"/>
                <w:sz w:val="20"/>
                <w:szCs w:val="20"/>
              </w:rPr>
            </w:pPr>
          </w:p>
          <w:p w:rsidR="00942CB2" w:rsidRPr="007A57FC" w:rsidRDefault="00942CB2" w:rsidP="00942CB2">
            <w:pPr>
              <w:pStyle w:val="ListParagraph"/>
              <w:numPr>
                <w:ilvl w:val="0"/>
                <w:numId w:val="7"/>
              </w:numPr>
              <w:rPr>
                <w:rFonts w:ascii="Cambria" w:hAnsi="Cambria" w:cs="Sylfaen"/>
                <w:b w:val="0"/>
                <w:color w:val="1F4E79" w:themeColor="accent1" w:themeShade="80"/>
                <w:sz w:val="20"/>
                <w:szCs w:val="20"/>
              </w:rPr>
            </w:pPr>
            <w:r w:rsidRPr="007A57FC">
              <w:rPr>
                <w:rFonts w:ascii="Cambria" w:hAnsi="Cambria" w:cs="Sylfaen"/>
                <w:b w:val="0"/>
                <w:color w:val="1F4E79" w:themeColor="accent1" w:themeShade="80"/>
                <w:sz w:val="20"/>
                <w:szCs w:val="20"/>
              </w:rPr>
              <w:t>Develop unified standards for the provision of public services to allow for objective assessments of service quality provision. These standards should encompass institutionalizing access to information and citizen participation mechanisms.</w:t>
            </w:r>
          </w:p>
          <w:p w:rsidR="00942CB2" w:rsidRPr="007A57FC" w:rsidRDefault="00942CB2" w:rsidP="00942CB2">
            <w:pPr>
              <w:pStyle w:val="ListParagraph"/>
              <w:numPr>
                <w:ilvl w:val="0"/>
                <w:numId w:val="7"/>
              </w:numPr>
              <w:rPr>
                <w:rFonts w:ascii="Cambria" w:hAnsi="Cambria" w:cs="Sylfaen"/>
                <w:b w:val="0"/>
                <w:color w:val="1F4E79" w:themeColor="accent1" w:themeShade="80"/>
                <w:sz w:val="20"/>
                <w:szCs w:val="20"/>
              </w:rPr>
            </w:pPr>
            <w:r w:rsidRPr="007A57FC">
              <w:rPr>
                <w:rFonts w:ascii="Cambria" w:hAnsi="Cambria" w:cs="Sylfaen"/>
                <w:b w:val="0"/>
                <w:color w:val="1F4E79" w:themeColor="accent1" w:themeShade="80"/>
                <w:sz w:val="20"/>
                <w:szCs w:val="20"/>
              </w:rPr>
              <w:t xml:space="preserve">Different agencies are creating their own portals without much coordination - </w:t>
            </w:r>
            <w:r w:rsidR="000A4876" w:rsidRPr="007A57FC">
              <w:rPr>
                <w:rFonts w:ascii="Cambria" w:hAnsi="Cambria" w:cs="Sylfaen"/>
                <w:b w:val="0"/>
                <w:color w:val="1F4E79" w:themeColor="accent1" w:themeShade="80"/>
                <w:sz w:val="20"/>
                <w:szCs w:val="20"/>
              </w:rPr>
              <w:t>harmonizing</w:t>
            </w:r>
            <w:r w:rsidRPr="007A57FC">
              <w:rPr>
                <w:rFonts w:ascii="Cambria" w:hAnsi="Cambria" w:cs="Sylfaen"/>
                <w:b w:val="0"/>
                <w:color w:val="1F4E79" w:themeColor="accent1" w:themeShade="80"/>
                <w:sz w:val="20"/>
                <w:szCs w:val="20"/>
              </w:rPr>
              <w:t xml:space="preserve"> approaches could be considered.</w:t>
            </w:r>
          </w:p>
          <w:p w:rsidR="00942CB2" w:rsidRPr="007A57FC" w:rsidRDefault="00942CB2" w:rsidP="00942CB2">
            <w:pPr>
              <w:pStyle w:val="ListParagraph"/>
              <w:numPr>
                <w:ilvl w:val="0"/>
                <w:numId w:val="7"/>
              </w:numPr>
              <w:rPr>
                <w:rFonts w:ascii="Cambria" w:hAnsi="Cambria" w:cs="Sylfaen"/>
                <w:color w:val="1F4E79" w:themeColor="accent1" w:themeShade="80"/>
                <w:sz w:val="20"/>
                <w:szCs w:val="20"/>
              </w:rPr>
            </w:pPr>
            <w:r w:rsidRPr="007A57FC">
              <w:rPr>
                <w:rFonts w:ascii="Cambria" w:hAnsi="Cambria" w:cs="Sylfaen"/>
                <w:b w:val="0"/>
                <w:color w:val="1F4E79" w:themeColor="accent1" w:themeShade="80"/>
                <w:sz w:val="20"/>
                <w:szCs w:val="20"/>
              </w:rPr>
              <w:t>Commitments related to SDGs and their monitoring as it relates to the delivery of public services</w:t>
            </w:r>
          </w:p>
        </w:tc>
        <w:tc>
          <w:tcPr>
            <w:tcW w:w="5386" w:type="dxa"/>
          </w:tcPr>
          <w:p w:rsidR="00456B65" w:rsidRPr="007A57FC" w:rsidRDefault="00456B65" w:rsidP="00456B6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In the </w:t>
            </w:r>
            <w:r w:rsidRPr="007A57FC">
              <w:rPr>
                <w:rFonts w:ascii="Cambria" w:hAnsi="Cambria" w:cs="Sylfaen"/>
                <w:b/>
                <w:color w:val="1F4E79" w:themeColor="accent1" w:themeShade="80"/>
                <w:sz w:val="20"/>
                <w:szCs w:val="20"/>
              </w:rPr>
              <w:t>UK,</w:t>
            </w:r>
            <w:r w:rsidRPr="007A57FC">
              <w:rPr>
                <w:rFonts w:ascii="Cambria" w:hAnsi="Cambria" w:cs="Sylfaen"/>
                <w:color w:val="1F4E79" w:themeColor="accent1" w:themeShade="80"/>
                <w:sz w:val="20"/>
                <w:szCs w:val="20"/>
              </w:rPr>
              <w:t xml:space="preserve"> residents can help assure high-quality public healthcare services by rating local hospitals, in the services near me section of the </w:t>
            </w:r>
            <w:hyperlink r:id="rId11" w:history="1">
              <w:r w:rsidRPr="007A57FC">
                <w:rPr>
                  <w:rStyle w:val="Hyperlink"/>
                  <w:rFonts w:ascii="Cambria" w:hAnsi="Cambria" w:cs="Sylfaen"/>
                  <w:sz w:val="20"/>
                  <w:szCs w:val="20"/>
                </w:rPr>
                <w:t>NHS Choices website.</w:t>
              </w:r>
            </w:hyperlink>
          </w:p>
          <w:p w:rsidR="00456B65" w:rsidRPr="007A57FC" w:rsidRDefault="00456B65" w:rsidP="00456B6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b/>
                <w:color w:val="1F4E79" w:themeColor="accent1" w:themeShade="80"/>
                <w:sz w:val="20"/>
                <w:szCs w:val="20"/>
              </w:rPr>
              <w:t>Indonesians</w:t>
            </w:r>
            <w:r w:rsidRPr="007A57FC">
              <w:rPr>
                <w:rFonts w:ascii="Cambria" w:hAnsi="Cambria" w:cs="Sylfaen"/>
                <w:color w:val="1F4E79" w:themeColor="accent1" w:themeShade="80"/>
                <w:sz w:val="20"/>
                <w:szCs w:val="20"/>
              </w:rPr>
              <w:t xml:space="preserve"> can report problems with basic public services using </w:t>
            </w:r>
            <w:hyperlink r:id="rId12" w:history="1">
              <w:r w:rsidRPr="007A57FC">
                <w:rPr>
                  <w:rStyle w:val="Hyperlink"/>
                  <w:rFonts w:ascii="Cambria" w:hAnsi="Cambria" w:cs="Sylfaen"/>
                  <w:sz w:val="20"/>
                  <w:szCs w:val="20"/>
                </w:rPr>
                <w:t>LAPOR</w:t>
              </w:r>
            </w:hyperlink>
            <w:r w:rsidRPr="007A57FC">
              <w:rPr>
                <w:rFonts w:ascii="Cambria" w:hAnsi="Cambria" w:cs="Sylfaen"/>
                <w:color w:val="1F4E79" w:themeColor="accent1" w:themeShade="80"/>
                <w:sz w:val="20"/>
                <w:szCs w:val="20"/>
              </w:rPr>
              <w:t xml:space="preserve"> through website, text, mobile application, or Twitter. The data on the status of queries, resolution time across all agencies that have been integrated into LAPOR! Is also made publicly available to foster greater accountability. </w:t>
            </w:r>
          </w:p>
          <w:p w:rsidR="00456B65" w:rsidRPr="007A57FC" w:rsidRDefault="00456B65" w:rsidP="00456B6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b/>
                <w:color w:val="1F4E79" w:themeColor="accent1" w:themeShade="80"/>
                <w:sz w:val="20"/>
                <w:szCs w:val="20"/>
              </w:rPr>
              <w:t xml:space="preserve">Mongolia’s </w:t>
            </w:r>
            <w:hyperlink r:id="rId13" w:history="1">
              <w:r w:rsidRPr="007A57FC">
                <w:rPr>
                  <w:rStyle w:val="Hyperlink"/>
                  <w:rFonts w:ascii="Cambria" w:hAnsi="Cambria" w:cs="Sylfaen"/>
                  <w:sz w:val="20"/>
                  <w:szCs w:val="20"/>
                </w:rPr>
                <w:t>Check My Services</w:t>
              </w:r>
            </w:hyperlink>
            <w:r w:rsidRPr="007A57FC">
              <w:rPr>
                <w:rFonts w:ascii="Cambria" w:hAnsi="Cambria" w:cs="Sylfaen"/>
                <w:color w:val="1F4E79" w:themeColor="accent1" w:themeShade="80"/>
                <w:sz w:val="20"/>
                <w:szCs w:val="20"/>
              </w:rPr>
              <w:t xml:space="preserve"> initiative invites citizens to fill out community scorecards to judge the quality of their schools, water delivery, and trash collection. With </w:t>
            </w:r>
            <w:hyperlink r:id="rId14" w:history="1">
              <w:r w:rsidRPr="007A57FC">
                <w:rPr>
                  <w:rStyle w:val="Hyperlink"/>
                  <w:rFonts w:ascii="Cambria" w:hAnsi="Cambria" w:cs="Sylfaen"/>
                  <w:sz w:val="20"/>
                  <w:szCs w:val="20"/>
                </w:rPr>
                <w:t>84 public services already assessed</w:t>
              </w:r>
            </w:hyperlink>
            <w:r w:rsidRPr="007A57FC">
              <w:rPr>
                <w:rFonts w:ascii="Cambria" w:hAnsi="Cambria" w:cs="Sylfaen"/>
                <w:color w:val="1F4E79" w:themeColor="accent1" w:themeShade="80"/>
                <w:sz w:val="20"/>
                <w:szCs w:val="20"/>
              </w:rPr>
              <w:t>, a Check My Services mobile application was developed to make citizen-driven improvements even easier.</w:t>
            </w:r>
          </w:p>
          <w:p w:rsidR="00456B65" w:rsidRPr="007A57FC" w:rsidRDefault="00456B65" w:rsidP="00456B6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In </w:t>
            </w:r>
            <w:r w:rsidRPr="007A57FC">
              <w:rPr>
                <w:rFonts w:ascii="Cambria" w:hAnsi="Cambria" w:cs="Sylfaen"/>
                <w:b/>
                <w:color w:val="1F4E79" w:themeColor="accent1" w:themeShade="80"/>
                <w:sz w:val="20"/>
                <w:szCs w:val="20"/>
              </w:rPr>
              <w:t>Naga City, Philippines</w:t>
            </w:r>
            <w:r w:rsidRPr="007A57FC">
              <w:rPr>
                <w:rFonts w:ascii="Cambria" w:hAnsi="Cambria" w:cs="Sylfaen"/>
                <w:color w:val="1F4E79" w:themeColor="accent1" w:themeShade="80"/>
                <w:sz w:val="20"/>
                <w:szCs w:val="20"/>
              </w:rPr>
              <w:t xml:space="preserve"> the Citizens Charters spans 140 services. It includes performance pledges that specify steps to be followed, delivery times, and logistical information. The Charter is distributed to all households in Naga via a printed leaflet and the city website. The city also offers a service which enables citizens to directly contact the persons responsible for a service through a text messages, with guaranteed replies within 24 hours. This service is used by many citizens to file complaints or advise officials about needed services.</w:t>
            </w:r>
          </w:p>
          <w:p w:rsidR="00456B65" w:rsidRPr="007A57FC" w:rsidRDefault="00456B65" w:rsidP="00456B6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b/>
                <w:color w:val="1F4E79" w:themeColor="accent1" w:themeShade="80"/>
                <w:sz w:val="20"/>
                <w:szCs w:val="20"/>
              </w:rPr>
              <w:t xml:space="preserve">Mexico </w:t>
            </w:r>
            <w:r w:rsidRPr="007A57FC">
              <w:rPr>
                <w:rFonts w:ascii="Cambria" w:hAnsi="Cambria" w:cs="Sylfaen"/>
                <w:color w:val="1F4E79" w:themeColor="accent1" w:themeShade="80"/>
                <w:sz w:val="20"/>
                <w:szCs w:val="20"/>
              </w:rPr>
              <w:t xml:space="preserve">has committed to the participatory development of a centralized, open platform to provide easy access to updated information on access to water </w:t>
            </w:r>
            <w:r w:rsidRPr="007A57FC">
              <w:rPr>
                <w:rFonts w:ascii="Cambria" w:hAnsi="Cambria" w:cs="Sylfaen"/>
                <w:color w:val="1F4E79" w:themeColor="accent1" w:themeShade="80"/>
                <w:sz w:val="20"/>
                <w:szCs w:val="20"/>
              </w:rPr>
              <w:lastRenderedPageBreak/>
              <w:t>and to facilitate citizen monitoring in order to improve water management. This is in response to the geographic distribution of the population not coinciding with the distribution of water, which favors heavy consumers (e.g. tourism, industrial and business sectors) and negatively affects the quality and quantity of access to water in rural areas</w:t>
            </w:r>
          </w:p>
          <w:p w:rsidR="00456B65" w:rsidRPr="007A57FC" w:rsidRDefault="00456B65" w:rsidP="00456B6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b/>
                <w:color w:val="1F4E79" w:themeColor="accent1" w:themeShade="80"/>
                <w:sz w:val="20"/>
                <w:szCs w:val="20"/>
              </w:rPr>
              <w:t>Honduras</w:t>
            </w:r>
            <w:r w:rsidRPr="007A57FC">
              <w:rPr>
                <w:rFonts w:ascii="Cambria" w:hAnsi="Cambria" w:cs="Sylfaen"/>
                <w:color w:val="1F4E79" w:themeColor="accent1" w:themeShade="80"/>
                <w:sz w:val="20"/>
                <w:szCs w:val="20"/>
              </w:rPr>
              <w:t xml:space="preserve"> has committed to implement transparency and public participation initiatives aimed at verifying the delivery and distribution of medicines and supplies, allowing the monitoring of supply levels in major hospitals.</w:t>
            </w:r>
          </w:p>
          <w:p w:rsidR="00456B65" w:rsidRPr="007A57FC" w:rsidRDefault="00456B65" w:rsidP="00456B6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More examples </w:t>
            </w:r>
            <w:hyperlink r:id="rId15" w:history="1">
              <w:r w:rsidRPr="007A57FC">
                <w:rPr>
                  <w:rStyle w:val="Hyperlink"/>
                  <w:rFonts w:ascii="Cambria" w:hAnsi="Cambria" w:cs="Sylfaen"/>
                  <w:sz w:val="20"/>
                  <w:szCs w:val="20"/>
                </w:rPr>
                <w:t>here.</w:t>
              </w:r>
            </w:hyperlink>
          </w:p>
        </w:tc>
        <w:tc>
          <w:tcPr>
            <w:tcW w:w="1134" w:type="dxa"/>
          </w:tcPr>
          <w:p w:rsidR="00456B65" w:rsidRPr="007A57FC" w:rsidRDefault="00456B65"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lastRenderedPageBreak/>
              <w:t>OGP SU</w:t>
            </w:r>
          </w:p>
        </w:tc>
        <w:tc>
          <w:tcPr>
            <w:tcW w:w="1701" w:type="dxa"/>
          </w:tcPr>
          <w:p w:rsidR="00456B65" w:rsidRPr="007A57FC" w:rsidRDefault="00456B65"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p>
        </w:tc>
        <w:tc>
          <w:tcPr>
            <w:tcW w:w="2835" w:type="dxa"/>
          </w:tcPr>
          <w:p w:rsidR="00456B65" w:rsidRPr="007A57FC" w:rsidRDefault="000A4876" w:rsidP="000A4876">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7A57FC">
              <w:rPr>
                <w:rFonts w:ascii="Cambria" w:hAnsi="Cambria" w:cs="Sylfaen"/>
                <w:color w:val="1F4E79" w:themeColor="accent1" w:themeShade="80"/>
                <w:sz w:val="20"/>
                <w:szCs w:val="20"/>
              </w:rPr>
              <w:t xml:space="preserve">Recommendations are not very well thought, as they do not correspond with the current state of service delivery in Georgia, however, best practices provided could be a source of inspiration to further improve public service delivery in the country. </w:t>
            </w:r>
          </w:p>
        </w:tc>
      </w:tr>
    </w:tbl>
    <w:p w:rsidR="005876AC" w:rsidRPr="007A57FC" w:rsidRDefault="00072A20" w:rsidP="00072A20">
      <w:pPr>
        <w:tabs>
          <w:tab w:val="left" w:pos="979"/>
        </w:tabs>
        <w:rPr>
          <w:rFonts w:ascii="Cambria" w:hAnsi="Cambria"/>
        </w:rPr>
      </w:pPr>
      <w:r w:rsidRPr="007A57FC">
        <w:rPr>
          <w:rFonts w:ascii="Cambria" w:hAnsi="Cambria"/>
        </w:rPr>
        <w:lastRenderedPageBreak/>
        <w:tab/>
      </w:r>
    </w:p>
    <w:sectPr w:rsidR="005876AC" w:rsidRPr="007A57FC" w:rsidSect="00A30E33">
      <w:footerReference w:type="default" r:id="rId16"/>
      <w:pgSz w:w="15840" w:h="12240" w:orient="landscape"/>
      <w:pgMar w:top="1440" w:right="1440" w:bottom="1440" w:left="1440" w:header="708" w:footer="708" w:gutter="0"/>
      <w:pgBorders w:offsetFrom="page">
        <w:top w:val="thinThickLargeGap" w:sz="24" w:space="24" w:color="2F5496" w:themeColor="accent5" w:themeShade="BF"/>
        <w:left w:val="thinThickLargeGap" w:sz="24" w:space="24" w:color="2F5496" w:themeColor="accent5" w:themeShade="BF"/>
        <w:bottom w:val="thickThinLargeGap" w:sz="24" w:space="24" w:color="2F5496" w:themeColor="accent5" w:themeShade="BF"/>
        <w:right w:val="thickThinLargeGap" w:sz="24"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E8F" w:rsidRDefault="00512E8F" w:rsidP="00F90032">
      <w:pPr>
        <w:spacing w:after="0" w:line="240" w:lineRule="auto"/>
      </w:pPr>
      <w:r>
        <w:separator/>
      </w:r>
    </w:p>
  </w:endnote>
  <w:endnote w:type="continuationSeparator" w:id="0">
    <w:p w:rsidR="00512E8F" w:rsidRDefault="00512E8F" w:rsidP="00F9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959318"/>
      <w:docPartObj>
        <w:docPartGallery w:val="Page Numbers (Bottom of Page)"/>
        <w:docPartUnique/>
      </w:docPartObj>
    </w:sdtPr>
    <w:sdtEndPr>
      <w:rPr>
        <w:noProof/>
      </w:rPr>
    </w:sdtEndPr>
    <w:sdtContent>
      <w:p w:rsidR="00F90032" w:rsidRDefault="00F90032">
        <w:pPr>
          <w:pStyle w:val="Footer"/>
          <w:jc w:val="center"/>
        </w:pPr>
        <w:r>
          <w:fldChar w:fldCharType="begin"/>
        </w:r>
        <w:r>
          <w:instrText xml:space="preserve"> PAGE   \* MERGEFORMAT </w:instrText>
        </w:r>
        <w:r>
          <w:fldChar w:fldCharType="separate"/>
        </w:r>
        <w:r w:rsidR="00E11339">
          <w:rPr>
            <w:noProof/>
          </w:rPr>
          <w:t>5</w:t>
        </w:r>
        <w:r>
          <w:rPr>
            <w:noProof/>
          </w:rPr>
          <w:fldChar w:fldCharType="end"/>
        </w:r>
      </w:p>
    </w:sdtContent>
  </w:sdt>
  <w:p w:rsidR="00F90032" w:rsidRDefault="00F900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E8F" w:rsidRDefault="00512E8F" w:rsidP="00F90032">
      <w:pPr>
        <w:spacing w:after="0" w:line="240" w:lineRule="auto"/>
      </w:pPr>
      <w:r>
        <w:separator/>
      </w:r>
    </w:p>
  </w:footnote>
  <w:footnote w:type="continuationSeparator" w:id="0">
    <w:p w:rsidR="00512E8F" w:rsidRDefault="00512E8F" w:rsidP="00F90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886"/>
    <w:multiLevelType w:val="hybridMultilevel"/>
    <w:tmpl w:val="CA34DC82"/>
    <w:lvl w:ilvl="0" w:tplc="C966F49A">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1491"/>
    <w:multiLevelType w:val="hybridMultilevel"/>
    <w:tmpl w:val="75AE0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414E02"/>
    <w:multiLevelType w:val="hybridMultilevel"/>
    <w:tmpl w:val="859EA33C"/>
    <w:lvl w:ilvl="0" w:tplc="E834C87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865A24"/>
    <w:multiLevelType w:val="hybridMultilevel"/>
    <w:tmpl w:val="EAFC831E"/>
    <w:lvl w:ilvl="0" w:tplc="9072CEE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17241"/>
    <w:multiLevelType w:val="hybridMultilevel"/>
    <w:tmpl w:val="A4DAA77E"/>
    <w:lvl w:ilvl="0" w:tplc="C204A5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5A4B50"/>
    <w:multiLevelType w:val="hybridMultilevel"/>
    <w:tmpl w:val="E924AF36"/>
    <w:lvl w:ilvl="0" w:tplc="B0E4883C">
      <w:start w:val="1"/>
      <w:numFmt w:val="bullet"/>
      <w:lvlText w:val="»"/>
      <w:lvlJc w:val="left"/>
      <w:pPr>
        <w:ind w:left="360" w:hanging="360"/>
      </w:pPr>
      <w:rPr>
        <w:rFonts w:ascii="Copperplate Gothic Light" w:hAnsi="Copperplate Gothic Light" w:hint="default"/>
        <w:b w:val="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9F3504"/>
    <w:multiLevelType w:val="hybridMultilevel"/>
    <w:tmpl w:val="1E06365C"/>
    <w:lvl w:ilvl="0" w:tplc="3CE453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5B26A4"/>
    <w:multiLevelType w:val="hybridMultilevel"/>
    <w:tmpl w:val="57AE0CFA"/>
    <w:lvl w:ilvl="0" w:tplc="B0E4883C">
      <w:start w:val="1"/>
      <w:numFmt w:val="bullet"/>
      <w:lvlText w:val="»"/>
      <w:lvlJc w:val="left"/>
      <w:pPr>
        <w:ind w:left="360" w:hanging="360"/>
      </w:pPr>
      <w:rPr>
        <w:rFonts w:ascii="Copperplate Gothic Light" w:hAnsi="Copperplate Gothic Light" w:hint="default"/>
        <w:b w:val="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5B"/>
    <w:rsid w:val="00072A20"/>
    <w:rsid w:val="00084477"/>
    <w:rsid w:val="000A4876"/>
    <w:rsid w:val="001265D5"/>
    <w:rsid w:val="001526BB"/>
    <w:rsid w:val="001775F1"/>
    <w:rsid w:val="001800B1"/>
    <w:rsid w:val="00207611"/>
    <w:rsid w:val="00217DEC"/>
    <w:rsid w:val="0027555E"/>
    <w:rsid w:val="002D09A3"/>
    <w:rsid w:val="003C01F1"/>
    <w:rsid w:val="003F2227"/>
    <w:rsid w:val="00456B65"/>
    <w:rsid w:val="0048755B"/>
    <w:rsid w:val="00490299"/>
    <w:rsid w:val="00492D48"/>
    <w:rsid w:val="00496632"/>
    <w:rsid w:val="00497B62"/>
    <w:rsid w:val="00512E8F"/>
    <w:rsid w:val="005558E0"/>
    <w:rsid w:val="00560134"/>
    <w:rsid w:val="00586C75"/>
    <w:rsid w:val="005876AC"/>
    <w:rsid w:val="00591ED5"/>
    <w:rsid w:val="005A48B6"/>
    <w:rsid w:val="005D69C1"/>
    <w:rsid w:val="005F79EC"/>
    <w:rsid w:val="006B4DF4"/>
    <w:rsid w:val="006C571E"/>
    <w:rsid w:val="006E0495"/>
    <w:rsid w:val="006F2EE0"/>
    <w:rsid w:val="00715464"/>
    <w:rsid w:val="00747CDF"/>
    <w:rsid w:val="007656A6"/>
    <w:rsid w:val="007A57FC"/>
    <w:rsid w:val="007B0FA3"/>
    <w:rsid w:val="007D1442"/>
    <w:rsid w:val="00802852"/>
    <w:rsid w:val="008452E9"/>
    <w:rsid w:val="0084699C"/>
    <w:rsid w:val="009114DE"/>
    <w:rsid w:val="00942CB2"/>
    <w:rsid w:val="00955EDA"/>
    <w:rsid w:val="00985B99"/>
    <w:rsid w:val="00A108A4"/>
    <w:rsid w:val="00A30E33"/>
    <w:rsid w:val="00A6535F"/>
    <w:rsid w:val="00AA3C31"/>
    <w:rsid w:val="00AA5A89"/>
    <w:rsid w:val="00AD1F7D"/>
    <w:rsid w:val="00B3476C"/>
    <w:rsid w:val="00B41DC5"/>
    <w:rsid w:val="00B52E4F"/>
    <w:rsid w:val="00BA49DC"/>
    <w:rsid w:val="00BA4E12"/>
    <w:rsid w:val="00BD6EAE"/>
    <w:rsid w:val="00C42241"/>
    <w:rsid w:val="00C64E3E"/>
    <w:rsid w:val="00C8335B"/>
    <w:rsid w:val="00CA69B6"/>
    <w:rsid w:val="00D60F0B"/>
    <w:rsid w:val="00E11339"/>
    <w:rsid w:val="00EA1E96"/>
    <w:rsid w:val="00EB6970"/>
    <w:rsid w:val="00ED7D3E"/>
    <w:rsid w:val="00EE0835"/>
    <w:rsid w:val="00F21FAA"/>
    <w:rsid w:val="00F3010D"/>
    <w:rsid w:val="00F31440"/>
    <w:rsid w:val="00F35A79"/>
    <w:rsid w:val="00F61D66"/>
    <w:rsid w:val="00F81D4B"/>
    <w:rsid w:val="00F90032"/>
    <w:rsid w:val="00FD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9002"/>
  <w15:chartTrackingRefBased/>
  <w15:docId w15:val="{80FDB821-4EDB-41FD-A69F-F85A1514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0E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E3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3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30E3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B52E4F"/>
    <w:pPr>
      <w:ind w:left="720"/>
      <w:contextualSpacing/>
    </w:pPr>
  </w:style>
  <w:style w:type="paragraph" w:styleId="CommentText">
    <w:name w:val="annotation text"/>
    <w:basedOn w:val="Normal"/>
    <w:link w:val="CommentTextChar"/>
    <w:uiPriority w:val="99"/>
    <w:unhideWhenUsed/>
    <w:rsid w:val="00B3476C"/>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3476C"/>
    <w:rPr>
      <w:rFonts w:eastAsiaTheme="minorEastAsia"/>
      <w:sz w:val="20"/>
      <w:szCs w:val="20"/>
    </w:rPr>
  </w:style>
  <w:style w:type="character" w:styleId="Hyperlink">
    <w:name w:val="Hyperlink"/>
    <w:basedOn w:val="DefaultParagraphFont"/>
    <w:uiPriority w:val="99"/>
    <w:unhideWhenUsed/>
    <w:rsid w:val="00AA5A89"/>
    <w:rPr>
      <w:color w:val="0563C1" w:themeColor="hyperlink"/>
      <w:u w:val="single"/>
    </w:rPr>
  </w:style>
  <w:style w:type="paragraph" w:styleId="Header">
    <w:name w:val="header"/>
    <w:basedOn w:val="Normal"/>
    <w:link w:val="HeaderChar"/>
    <w:uiPriority w:val="99"/>
    <w:unhideWhenUsed/>
    <w:rsid w:val="00F9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032"/>
  </w:style>
  <w:style w:type="paragraph" w:styleId="Footer">
    <w:name w:val="footer"/>
    <w:basedOn w:val="Normal"/>
    <w:link w:val="FooterChar"/>
    <w:uiPriority w:val="99"/>
    <w:unhideWhenUsed/>
    <w:rsid w:val="00F9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88200">
      <w:bodyDiv w:val="1"/>
      <w:marLeft w:val="0"/>
      <w:marRight w:val="0"/>
      <w:marTop w:val="0"/>
      <w:marBottom w:val="0"/>
      <w:divBdr>
        <w:top w:val="none" w:sz="0" w:space="0" w:color="auto"/>
        <w:left w:val="none" w:sz="0" w:space="0" w:color="auto"/>
        <w:bottom w:val="none" w:sz="0" w:space="0" w:color="auto"/>
        <w:right w:val="none" w:sz="0" w:space="0" w:color="auto"/>
      </w:divBdr>
    </w:div>
    <w:div w:id="1103114073">
      <w:bodyDiv w:val="1"/>
      <w:marLeft w:val="0"/>
      <w:marRight w:val="0"/>
      <w:marTop w:val="0"/>
      <w:marBottom w:val="0"/>
      <w:divBdr>
        <w:top w:val="none" w:sz="0" w:space="0" w:color="auto"/>
        <w:left w:val="none" w:sz="0" w:space="0" w:color="auto"/>
        <w:bottom w:val="none" w:sz="0" w:space="0" w:color="auto"/>
        <w:right w:val="none" w:sz="0" w:space="0" w:color="auto"/>
      </w:divBdr>
    </w:div>
    <w:div w:id="1722171400">
      <w:bodyDiv w:val="1"/>
      <w:marLeft w:val="0"/>
      <w:marRight w:val="0"/>
      <w:marTop w:val="0"/>
      <w:marBottom w:val="0"/>
      <w:divBdr>
        <w:top w:val="none" w:sz="0" w:space="0" w:color="auto"/>
        <w:left w:val="none" w:sz="0" w:space="0" w:color="auto"/>
        <w:bottom w:val="none" w:sz="0" w:space="0" w:color="auto"/>
        <w:right w:val="none" w:sz="0" w:space="0" w:color="auto"/>
      </w:divBdr>
    </w:div>
    <w:div w:id="20048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gov.it/" TargetMode="External"/><Relationship Id="rId13" Type="http://schemas.openxmlformats.org/officeDocument/2006/relationships/hyperlink" Target="https://www.opengovpartnership.org/stories/waste-disposal-water-delivery-citizen-empowerment-through-check-my-service-initiativ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gpau.pmc.gov.au/" TargetMode="External"/><Relationship Id="rId12" Type="http://schemas.openxmlformats.org/officeDocument/2006/relationships/hyperlink" Target="https://lapor.go.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pages/home.aspx" TargetMode="External"/><Relationship Id="rId5" Type="http://schemas.openxmlformats.org/officeDocument/2006/relationships/footnotes" Target="footnotes.xml"/><Relationship Id="rId15" Type="http://schemas.openxmlformats.org/officeDocument/2006/relationships/hyperlink" Target="https://www.opengovpartnership.org/sites/default/files/OGP_public-service-guidance.pdf" TargetMode="External"/><Relationship Id="rId10" Type="http://schemas.openxmlformats.org/officeDocument/2006/relationships/hyperlink" Target="http://participa.br/" TargetMode="External"/><Relationship Id="rId4" Type="http://schemas.openxmlformats.org/officeDocument/2006/relationships/webSettings" Target="webSettings.xml"/><Relationship Id="rId9" Type="http://schemas.openxmlformats.org/officeDocument/2006/relationships/hyperlink" Target="https://www.kogu.ee/en/pension-2050/" TargetMode="External"/><Relationship Id="rId14" Type="http://schemas.openxmlformats.org/officeDocument/2006/relationships/hyperlink" Target="https://www.opengovpartnership.org/stories/waste-disposal-water-delivery-citizen-empowerment-through-check-my-service-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Tsanava</dc:creator>
  <cp:keywords/>
  <dc:description/>
  <cp:lastModifiedBy>Zurab Sanikidze</cp:lastModifiedBy>
  <cp:revision>60</cp:revision>
  <dcterms:created xsi:type="dcterms:W3CDTF">2018-03-01T11:59:00Z</dcterms:created>
  <dcterms:modified xsi:type="dcterms:W3CDTF">2018-05-06T22:28:00Z</dcterms:modified>
</cp:coreProperties>
</file>